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95" w:rsidRPr="002B70DD" w:rsidRDefault="00587295" w:rsidP="00587295">
      <w:pPr>
        <w:tabs>
          <w:tab w:val="left" w:pos="5652"/>
        </w:tabs>
        <w:rPr>
          <w:rFonts w:ascii="Tahoma" w:hAnsi="Tahoma" w:cs="Tahoma"/>
          <w:b/>
          <w:sz w:val="32"/>
          <w:u w:val="single"/>
        </w:rPr>
      </w:pPr>
      <w:r>
        <w:rPr>
          <w:rFonts w:ascii="Tahoma" w:hAnsi="Tahoma" w:cs="Tahoma"/>
          <w:b/>
        </w:rPr>
        <w:t xml:space="preserve">                                                                   </w:t>
      </w:r>
      <w:r w:rsidRPr="00587295">
        <w:rPr>
          <w:rFonts w:ascii="Tahoma" w:hAnsi="Tahoma" w:cs="Tahoma"/>
          <w:b/>
        </w:rPr>
        <w:t xml:space="preserve"> </w:t>
      </w:r>
      <w:r w:rsidRPr="002B70DD">
        <w:rPr>
          <w:rFonts w:ascii="Tahoma" w:hAnsi="Tahoma" w:cs="Tahoma"/>
          <w:b/>
          <w:sz w:val="32"/>
          <w:u w:val="single"/>
        </w:rPr>
        <w:t>Fiche Techniqu</w:t>
      </w:r>
      <w:r w:rsidR="002B70DD">
        <w:rPr>
          <w:rFonts w:ascii="Tahoma" w:hAnsi="Tahoma" w:cs="Tahoma"/>
          <w:b/>
          <w:sz w:val="32"/>
          <w:u w:val="single"/>
        </w:rPr>
        <w:t>e</w:t>
      </w:r>
    </w:p>
    <w:p w:rsidR="00587295" w:rsidRDefault="002104B4" w:rsidP="00587295">
      <w:pPr>
        <w:tabs>
          <w:tab w:val="left" w:pos="5652"/>
        </w:tabs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241300</wp:posOffset>
            </wp:positionV>
            <wp:extent cx="1277620" cy="1294130"/>
            <wp:effectExtent l="0" t="0" r="508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295" w:rsidRPr="002B70DD" w:rsidRDefault="00587295" w:rsidP="002B70DD">
      <w:pPr>
        <w:tabs>
          <w:tab w:val="left" w:pos="5652"/>
        </w:tabs>
        <w:rPr>
          <w:rFonts w:ascii="Tahoma" w:hAnsi="Tahoma" w:cs="Tahoma"/>
          <w:b/>
          <w:sz w:val="32"/>
        </w:rPr>
      </w:pPr>
    </w:p>
    <w:p w:rsidR="00587295" w:rsidRDefault="00587295" w:rsidP="00587295">
      <w:pPr>
        <w:tabs>
          <w:tab w:val="left" w:pos="5652"/>
        </w:tabs>
        <w:rPr>
          <w:rFonts w:ascii="Tahoma" w:hAnsi="Tahoma" w:cs="Tahoma"/>
          <w:b/>
          <w:sz w:val="32"/>
        </w:rPr>
      </w:pPr>
    </w:p>
    <w:p w:rsidR="00587295" w:rsidRDefault="00587295" w:rsidP="002104B4">
      <w:pPr>
        <w:jc w:val="center"/>
        <w:rPr>
          <w:sz w:val="32"/>
        </w:rPr>
      </w:pPr>
      <w:r w:rsidRPr="00587295">
        <w:rPr>
          <w:sz w:val="32"/>
        </w:rPr>
        <w:t>AÉROSOL SOUFFLANT DÉPOUSSIÉRANT</w:t>
      </w:r>
    </w:p>
    <w:p w:rsidR="008C576F" w:rsidRDefault="008C576F" w:rsidP="002104B4">
      <w:pPr>
        <w:jc w:val="center"/>
        <w:rPr>
          <w:sz w:val="32"/>
        </w:rPr>
      </w:pPr>
    </w:p>
    <w:p w:rsidR="008C576F" w:rsidRPr="00587295" w:rsidRDefault="008C576F" w:rsidP="002104B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1400605" cy="14006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04" cy="142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95" w:rsidRPr="00587295" w:rsidRDefault="00587295" w:rsidP="00587295">
      <w:pPr>
        <w:tabs>
          <w:tab w:val="left" w:pos="1672"/>
        </w:tabs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br w:type="textWrapping" w:clear="all"/>
      </w:r>
    </w:p>
    <w:p w:rsidR="00587295" w:rsidRDefault="00587295" w:rsidP="00587295">
      <w:pPr>
        <w:pBdr>
          <w:bottom w:val="single" w:sz="6" w:space="1" w:color="auto"/>
        </w:pBdr>
        <w:jc w:val="center"/>
      </w:pPr>
    </w:p>
    <w:p w:rsidR="00587295" w:rsidRDefault="00587295" w:rsidP="00587295">
      <w:pPr>
        <w:jc w:val="center"/>
      </w:pPr>
    </w:p>
    <w:p w:rsidR="002737C6" w:rsidRDefault="002737C6" w:rsidP="00587295">
      <w:pPr>
        <w:jc w:val="center"/>
      </w:pPr>
    </w:p>
    <w:p w:rsidR="002737C6" w:rsidRDefault="002737C6" w:rsidP="00587295">
      <w:pPr>
        <w:jc w:val="center"/>
      </w:pPr>
    </w:p>
    <w:p w:rsidR="002B70DD" w:rsidRPr="008C576F" w:rsidRDefault="002B70DD" w:rsidP="002B70DD">
      <w:pPr>
        <w:rPr>
          <w:rFonts w:ascii="Tahoma" w:hAnsi="Tahoma"/>
          <w:b/>
          <w:color w:val="2F5496" w:themeColor="accent1" w:themeShade="BF"/>
        </w:rPr>
      </w:pPr>
      <w:r w:rsidRPr="008C576F">
        <w:rPr>
          <w:rFonts w:ascii="Tahoma" w:hAnsi="Tahoma"/>
          <w:b/>
          <w:color w:val="2F5496" w:themeColor="accent1" w:themeShade="BF"/>
        </w:rPr>
        <w:t>Description :</w:t>
      </w:r>
    </w:p>
    <w:p w:rsidR="002B70DD" w:rsidRDefault="002B70DD" w:rsidP="002B70DD">
      <w:pPr>
        <w:rPr>
          <w:rFonts w:ascii="Tahoma" w:hAnsi="Tahoma"/>
        </w:rPr>
      </w:pPr>
    </w:p>
    <w:p w:rsidR="002B70DD" w:rsidRDefault="002B70DD" w:rsidP="002B70DD">
      <w:pPr>
        <w:rPr>
          <w:rFonts w:ascii="Tahoma" w:hAnsi="Tahoma"/>
        </w:rPr>
      </w:pPr>
      <w:r>
        <w:rPr>
          <w:rFonts w:ascii="Tahoma" w:hAnsi="Tahoma"/>
        </w:rPr>
        <w:t>A</w:t>
      </w:r>
      <w:r w:rsidR="004614AF">
        <w:rPr>
          <w:rFonts w:ascii="Tahoma" w:hAnsi="Tahoma"/>
        </w:rPr>
        <w:t>érosol permettant le</w:t>
      </w:r>
      <w:r>
        <w:rPr>
          <w:rFonts w:ascii="Tahoma" w:hAnsi="Tahoma"/>
        </w:rPr>
        <w:t xml:space="preserve"> nettoyage, l’élimination d’humidité</w:t>
      </w:r>
      <w:r w:rsidR="002104B4">
        <w:rPr>
          <w:rFonts w:ascii="Tahoma" w:hAnsi="Tahoma"/>
        </w:rPr>
        <w:t xml:space="preserve"> et </w:t>
      </w:r>
      <w:r>
        <w:rPr>
          <w:rFonts w:ascii="Tahoma" w:hAnsi="Tahoma"/>
        </w:rPr>
        <w:t xml:space="preserve">de poussières </w:t>
      </w:r>
      <w:r w:rsidR="002104B4">
        <w:rPr>
          <w:rFonts w:ascii="Tahoma" w:hAnsi="Tahoma"/>
        </w:rPr>
        <w:t xml:space="preserve">sur </w:t>
      </w:r>
      <w:r>
        <w:rPr>
          <w:rFonts w:ascii="Tahoma" w:hAnsi="Tahoma"/>
        </w:rPr>
        <w:t>des surfaces difficiles d’accès</w:t>
      </w:r>
      <w:r w:rsidR="002104B4">
        <w:rPr>
          <w:rFonts w:ascii="Tahoma" w:hAnsi="Tahoma"/>
        </w:rPr>
        <w:t xml:space="preserve"> ou intolérantes aux solvants de nettoyage.</w:t>
      </w:r>
      <w:r w:rsidR="008C576F">
        <w:rPr>
          <w:rFonts w:ascii="Tahoma" w:hAnsi="Tahoma"/>
        </w:rPr>
        <w:t xml:space="preserve"> </w:t>
      </w:r>
    </w:p>
    <w:p w:rsidR="008C576F" w:rsidRDefault="008C576F" w:rsidP="002B70DD">
      <w:pPr>
        <w:rPr>
          <w:rFonts w:ascii="Tahoma" w:hAnsi="Tahoma"/>
        </w:rPr>
      </w:pPr>
      <w:r>
        <w:rPr>
          <w:rFonts w:ascii="Tahoma" w:hAnsi="Tahoma"/>
        </w:rPr>
        <w:t>Permet un puissant soufflage sans perte de pression.</w:t>
      </w:r>
    </w:p>
    <w:p w:rsidR="008C576F" w:rsidRDefault="008C576F" w:rsidP="002B70DD">
      <w:pPr>
        <w:rPr>
          <w:rFonts w:ascii="Tahoma" w:hAnsi="Tahoma"/>
        </w:rPr>
      </w:pPr>
      <w:r>
        <w:rPr>
          <w:rFonts w:ascii="Tahoma" w:hAnsi="Tahoma"/>
        </w:rPr>
        <w:t>Ce produit est utilisable sur des appareils sous tension.</w:t>
      </w:r>
    </w:p>
    <w:p w:rsidR="008C576F" w:rsidRDefault="008C576F" w:rsidP="002B70DD">
      <w:pPr>
        <w:rPr>
          <w:rFonts w:ascii="Tahoma" w:hAnsi="Tahoma"/>
        </w:rPr>
      </w:pPr>
      <w:r>
        <w:rPr>
          <w:rFonts w:ascii="Tahoma" w:hAnsi="Tahoma"/>
        </w:rPr>
        <w:t>Garanti sans Diméthyléther et sans butane-propane.</w:t>
      </w:r>
    </w:p>
    <w:p w:rsidR="002737C6" w:rsidRDefault="002737C6" w:rsidP="002B70DD">
      <w:pPr>
        <w:rPr>
          <w:rFonts w:ascii="Tahoma" w:hAnsi="Tahoma"/>
        </w:rPr>
      </w:pPr>
    </w:p>
    <w:p w:rsidR="002737C6" w:rsidRDefault="002737C6" w:rsidP="002B70DD">
      <w:pPr>
        <w:rPr>
          <w:rFonts w:ascii="Tahoma" w:hAnsi="Tahoma"/>
        </w:rPr>
      </w:pPr>
    </w:p>
    <w:p w:rsidR="008C576F" w:rsidRDefault="008C576F" w:rsidP="002B70DD">
      <w:pPr>
        <w:rPr>
          <w:rFonts w:ascii="Tahoma" w:hAnsi="Tahoma"/>
        </w:rPr>
      </w:pPr>
    </w:p>
    <w:p w:rsidR="008C576F" w:rsidRPr="008C576F" w:rsidRDefault="008C576F" w:rsidP="002737C6">
      <w:pPr>
        <w:tabs>
          <w:tab w:val="left" w:pos="5280"/>
        </w:tabs>
        <w:rPr>
          <w:rFonts w:ascii="Tahoma" w:hAnsi="Tahoma"/>
          <w:b/>
          <w:color w:val="2F5496" w:themeColor="accent1" w:themeShade="BF"/>
        </w:rPr>
      </w:pPr>
      <w:r w:rsidRPr="008C576F">
        <w:rPr>
          <w:rFonts w:ascii="Tahoma" w:hAnsi="Tahoma"/>
          <w:b/>
          <w:color w:val="2F5496" w:themeColor="accent1" w:themeShade="BF"/>
        </w:rPr>
        <w:t>Domaines d’utilisations :</w:t>
      </w:r>
      <w:r w:rsidR="002737C6">
        <w:rPr>
          <w:rFonts w:ascii="Tahoma" w:hAnsi="Tahoma"/>
          <w:b/>
          <w:color w:val="2F5496" w:themeColor="accent1" w:themeShade="BF"/>
        </w:rPr>
        <w:t xml:space="preserve">                                Mode d’emploi :</w:t>
      </w:r>
    </w:p>
    <w:p w:rsidR="008C576F" w:rsidRDefault="008C576F" w:rsidP="002B70DD">
      <w:pPr>
        <w:rPr>
          <w:rFonts w:ascii="Tahoma" w:hAnsi="Tahoma"/>
        </w:rPr>
      </w:pPr>
    </w:p>
    <w:p w:rsidR="008C576F" w:rsidRPr="002737C6" w:rsidRDefault="008C576F" w:rsidP="002737C6">
      <w:pPr>
        <w:tabs>
          <w:tab w:val="left" w:pos="5280"/>
        </w:tabs>
        <w:rPr>
          <w:rFonts w:ascii="Tahoma" w:hAnsi="Tahoma"/>
          <w:sz w:val="22"/>
          <w:szCs w:val="22"/>
        </w:rPr>
      </w:pPr>
      <w:r w:rsidRPr="002737C6">
        <w:rPr>
          <w:rFonts w:ascii="Tahoma" w:hAnsi="Tahoma"/>
          <w:sz w:val="22"/>
          <w:szCs w:val="22"/>
        </w:rPr>
        <w:t>Circuits électroniques</w:t>
      </w:r>
      <w:r w:rsidR="002737C6" w:rsidRPr="002737C6">
        <w:rPr>
          <w:rFonts w:ascii="Tahoma" w:hAnsi="Tahoma"/>
          <w:sz w:val="22"/>
          <w:szCs w:val="22"/>
        </w:rPr>
        <w:t xml:space="preserve">                                         </w:t>
      </w:r>
      <w:r w:rsidR="002737C6">
        <w:rPr>
          <w:rFonts w:ascii="Tahoma" w:hAnsi="Tahoma"/>
          <w:sz w:val="22"/>
          <w:szCs w:val="22"/>
        </w:rPr>
        <w:t xml:space="preserve">     </w:t>
      </w:r>
      <w:r w:rsidR="002737C6" w:rsidRPr="002737C6">
        <w:rPr>
          <w:rFonts w:ascii="Tahoma" w:hAnsi="Tahoma"/>
          <w:sz w:val="22"/>
          <w:szCs w:val="22"/>
        </w:rPr>
        <w:t>Ne pas agiter l’aérosol avant emploi</w:t>
      </w:r>
    </w:p>
    <w:p w:rsidR="008C576F" w:rsidRPr="002737C6" w:rsidRDefault="008C576F" w:rsidP="002737C6">
      <w:pPr>
        <w:tabs>
          <w:tab w:val="left" w:pos="5280"/>
        </w:tabs>
        <w:rPr>
          <w:rFonts w:ascii="Tahoma" w:hAnsi="Tahoma"/>
          <w:sz w:val="22"/>
          <w:szCs w:val="22"/>
        </w:rPr>
      </w:pPr>
      <w:r w:rsidRPr="002737C6">
        <w:rPr>
          <w:rFonts w:ascii="Tahoma" w:hAnsi="Tahoma"/>
          <w:sz w:val="22"/>
          <w:szCs w:val="22"/>
        </w:rPr>
        <w:t>Moniteurs, claviers et souris</w:t>
      </w:r>
      <w:r w:rsidR="002737C6" w:rsidRPr="002737C6">
        <w:rPr>
          <w:rFonts w:ascii="Tahoma" w:hAnsi="Tahoma"/>
          <w:sz w:val="22"/>
          <w:szCs w:val="22"/>
        </w:rPr>
        <w:t xml:space="preserve">  </w:t>
      </w:r>
      <w:r w:rsidR="002737C6">
        <w:rPr>
          <w:rFonts w:ascii="Tahoma" w:hAnsi="Tahoma"/>
          <w:sz w:val="22"/>
          <w:szCs w:val="22"/>
        </w:rPr>
        <w:t xml:space="preserve">                                   </w:t>
      </w:r>
      <w:r w:rsidR="002737C6" w:rsidRPr="002737C6">
        <w:rPr>
          <w:rFonts w:ascii="Tahoma" w:hAnsi="Tahoma"/>
          <w:sz w:val="22"/>
          <w:szCs w:val="22"/>
        </w:rPr>
        <w:t>Pulvériser à 20 cm minimum</w:t>
      </w:r>
    </w:p>
    <w:p w:rsidR="008C576F" w:rsidRPr="002737C6" w:rsidRDefault="008C576F" w:rsidP="002737C6">
      <w:pPr>
        <w:tabs>
          <w:tab w:val="left" w:pos="5280"/>
        </w:tabs>
        <w:rPr>
          <w:rFonts w:ascii="Tahoma" w:hAnsi="Tahoma"/>
          <w:sz w:val="22"/>
          <w:szCs w:val="22"/>
        </w:rPr>
      </w:pPr>
      <w:r w:rsidRPr="002737C6">
        <w:rPr>
          <w:rFonts w:ascii="Tahoma" w:hAnsi="Tahoma"/>
          <w:sz w:val="22"/>
          <w:szCs w:val="22"/>
        </w:rPr>
        <w:t>Imprimeurs et solutions d’impressions</w:t>
      </w:r>
      <w:r w:rsidR="002737C6">
        <w:rPr>
          <w:rFonts w:ascii="Tahoma" w:hAnsi="Tahoma"/>
          <w:sz w:val="22"/>
          <w:szCs w:val="22"/>
        </w:rPr>
        <w:t xml:space="preserve">                       </w:t>
      </w:r>
      <w:r w:rsidR="002737C6" w:rsidRPr="002737C6">
        <w:rPr>
          <w:rFonts w:ascii="Tahoma" w:hAnsi="Tahoma"/>
          <w:sz w:val="22"/>
          <w:szCs w:val="22"/>
        </w:rPr>
        <w:t>Effectuer des petites pulvérisations</w:t>
      </w:r>
    </w:p>
    <w:p w:rsidR="008C576F" w:rsidRPr="002737C6" w:rsidRDefault="008C576F" w:rsidP="002737C6">
      <w:pPr>
        <w:tabs>
          <w:tab w:val="left" w:pos="5280"/>
        </w:tabs>
        <w:rPr>
          <w:rFonts w:ascii="Tahoma" w:hAnsi="Tahoma"/>
          <w:sz w:val="22"/>
          <w:szCs w:val="22"/>
        </w:rPr>
      </w:pPr>
      <w:r w:rsidRPr="002737C6">
        <w:rPr>
          <w:rFonts w:ascii="Tahoma" w:hAnsi="Tahoma"/>
          <w:sz w:val="22"/>
          <w:szCs w:val="22"/>
        </w:rPr>
        <w:t>Industrie aéronautique et spatiale</w:t>
      </w:r>
      <w:r w:rsidR="002737C6">
        <w:rPr>
          <w:rFonts w:ascii="Tahoma" w:hAnsi="Tahoma"/>
          <w:sz w:val="22"/>
          <w:szCs w:val="22"/>
        </w:rPr>
        <w:tab/>
        <w:t>Utilisable dans toutes les positions</w:t>
      </w:r>
    </w:p>
    <w:p w:rsidR="008C576F" w:rsidRPr="002737C6" w:rsidRDefault="008C576F" w:rsidP="002B70DD">
      <w:pPr>
        <w:rPr>
          <w:rFonts w:ascii="Tahoma" w:hAnsi="Tahoma"/>
          <w:sz w:val="22"/>
          <w:szCs w:val="22"/>
        </w:rPr>
      </w:pPr>
      <w:r w:rsidRPr="002737C6">
        <w:rPr>
          <w:rFonts w:ascii="Tahoma" w:hAnsi="Tahoma"/>
          <w:sz w:val="22"/>
          <w:szCs w:val="22"/>
        </w:rPr>
        <w:t>Trackball</w:t>
      </w:r>
    </w:p>
    <w:p w:rsidR="002737C6" w:rsidRDefault="008C576F" w:rsidP="002B70DD">
      <w:pPr>
        <w:rPr>
          <w:rFonts w:ascii="Tahoma" w:hAnsi="Tahoma"/>
          <w:sz w:val="22"/>
          <w:szCs w:val="22"/>
        </w:rPr>
      </w:pPr>
      <w:r w:rsidRPr="002737C6">
        <w:rPr>
          <w:rFonts w:ascii="Tahoma" w:hAnsi="Tahoma"/>
          <w:sz w:val="22"/>
          <w:szCs w:val="22"/>
        </w:rPr>
        <w:t>Téléphon</w:t>
      </w:r>
      <w:r w:rsidR="002737C6" w:rsidRPr="002737C6">
        <w:rPr>
          <w:rFonts w:ascii="Tahoma" w:hAnsi="Tahoma"/>
          <w:sz w:val="22"/>
          <w:szCs w:val="22"/>
        </w:rPr>
        <w:t>es et appareils mu</w:t>
      </w:r>
      <w:r w:rsidR="002737C6">
        <w:rPr>
          <w:rFonts w:ascii="Tahoma" w:hAnsi="Tahoma"/>
          <w:sz w:val="22"/>
          <w:szCs w:val="22"/>
        </w:rPr>
        <w:t>lti</w:t>
      </w:r>
      <w:r w:rsidR="002737C6" w:rsidRPr="002737C6">
        <w:rPr>
          <w:rFonts w:ascii="Tahoma" w:hAnsi="Tahoma"/>
          <w:sz w:val="22"/>
          <w:szCs w:val="22"/>
        </w:rPr>
        <w:t>médias</w:t>
      </w: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2737C6" w:rsidRPr="002737C6" w:rsidRDefault="002737C6" w:rsidP="002737C6">
      <w:pPr>
        <w:rPr>
          <w:rFonts w:ascii="Tahoma" w:hAnsi="Tahoma"/>
          <w:sz w:val="22"/>
          <w:szCs w:val="22"/>
        </w:rPr>
      </w:pPr>
    </w:p>
    <w:p w:rsidR="008C576F" w:rsidRDefault="002737C6" w:rsidP="002737C6">
      <w:pPr>
        <w:tabs>
          <w:tab w:val="left" w:pos="175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2737C6" w:rsidRDefault="002737C6" w:rsidP="002737C6">
      <w:pPr>
        <w:tabs>
          <w:tab w:val="left" w:pos="175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>CARACTÉRISTIQUES PHYSICO-CHIMIQUES TYPIQUES</w:t>
      </w:r>
    </w:p>
    <w:p w:rsidR="002737C6" w:rsidRDefault="002737C6" w:rsidP="002737C6">
      <w:pPr>
        <w:tabs>
          <w:tab w:val="left" w:pos="1750"/>
        </w:tabs>
        <w:rPr>
          <w:rFonts w:ascii="Tahoma" w:hAnsi="Tahom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5"/>
        <w:gridCol w:w="1727"/>
        <w:gridCol w:w="1843"/>
        <w:gridCol w:w="1831"/>
      </w:tblGrid>
      <w:tr w:rsidR="002737C6" w:rsidTr="00160F7B">
        <w:tc>
          <w:tcPr>
            <w:tcW w:w="3655" w:type="dxa"/>
            <w:shd w:val="clear" w:color="auto" w:fill="8EAADB" w:themeFill="accent1" w:themeFillTint="99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Caractéristiques</w:t>
            </w:r>
          </w:p>
        </w:tc>
        <w:tc>
          <w:tcPr>
            <w:tcW w:w="1727" w:type="dxa"/>
            <w:shd w:val="clear" w:color="auto" w:fill="8EAADB" w:themeFill="accent1" w:themeFillTint="99"/>
          </w:tcPr>
          <w:p w:rsidR="002737C6" w:rsidRDefault="002737C6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NORMES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2737C6" w:rsidRDefault="002737C6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VALEURS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:rsidR="002737C6" w:rsidRDefault="002737C6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UNITÉS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Aspect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Visuel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Gaz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Couleur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Visuelle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Sans</w:t>
            </w:r>
          </w:p>
          <w:p w:rsidR="0023066E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Odeur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Olfactif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Sans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Masse volumique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ISO 12. 185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1200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Kg/m3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Solubilité dans l’eau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Totalement insoluble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Indice d’acide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EN 14104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&lt;0,1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proofErr w:type="gramStart"/>
            <w:r>
              <w:rPr>
                <w:rFonts w:ascii="Tahoma" w:hAnsi="Tahoma"/>
                <w:sz w:val="22"/>
                <w:szCs w:val="22"/>
              </w:rPr>
              <w:t>Mg(</w:t>
            </w:r>
            <w:proofErr w:type="gramEnd"/>
            <w:r>
              <w:rPr>
                <w:rFonts w:ascii="Tahoma" w:hAnsi="Tahoma"/>
                <w:sz w:val="22"/>
                <w:szCs w:val="22"/>
              </w:rPr>
              <w:t>KOH)/g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Résidu après évaporation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NF T 30-084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Corrosion lame de cuivre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ISO 2160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1a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Cotation</w:t>
            </w:r>
          </w:p>
        </w:tc>
      </w:tr>
      <w:tr w:rsidR="002737C6" w:rsidTr="00160F7B">
        <w:tc>
          <w:tcPr>
            <w:tcW w:w="3655" w:type="dxa"/>
          </w:tcPr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Point éclaire vase clos</w:t>
            </w:r>
          </w:p>
          <w:p w:rsidR="002737C6" w:rsidRDefault="002737C6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ISO 2719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Sans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°C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Point d’auto-inflammation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ASTM E 659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Ininflammable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°C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Limite supérieure d’explosivité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NF EN 1839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Inexplosible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°C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Limite inférieure d’explosivité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160F7B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NF EN 1839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Inexplosible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°C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0"/>
                <w:szCs w:val="22"/>
              </w:rPr>
            </w:pPr>
            <w:r w:rsidRPr="00160F7B">
              <w:rPr>
                <w:rFonts w:ascii="Tahoma" w:hAnsi="Tahoma"/>
                <w:sz w:val="20"/>
                <w:szCs w:val="22"/>
              </w:rPr>
              <w:t>Teneur en substances explosives, comburantes, inflammables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Règlement CLP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Néant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Pureté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Résidu non volatile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Pression de vapeur à 20°</w:t>
            </w:r>
          </w:p>
          <w:p w:rsidR="00160F7B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5,7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Bars</w:t>
            </w:r>
          </w:p>
        </w:tc>
      </w:tr>
      <w:tr w:rsidR="002737C6" w:rsidTr="00160F7B">
        <w:tc>
          <w:tcPr>
            <w:tcW w:w="3655" w:type="dxa"/>
          </w:tcPr>
          <w:p w:rsidR="002737C6" w:rsidRDefault="00160F7B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ODP ozone depleting potential</w:t>
            </w:r>
          </w:p>
          <w:p w:rsidR="0023066E" w:rsidRDefault="0023066E" w:rsidP="002737C6">
            <w:pPr>
              <w:tabs>
                <w:tab w:val="left" w:pos="1750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1831" w:type="dxa"/>
          </w:tcPr>
          <w:p w:rsidR="002737C6" w:rsidRDefault="0023066E" w:rsidP="0023066E">
            <w:pPr>
              <w:tabs>
                <w:tab w:val="left" w:pos="1750"/>
              </w:tabs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2737C6" w:rsidRPr="002737C6" w:rsidRDefault="002737C6" w:rsidP="002737C6">
      <w:pPr>
        <w:tabs>
          <w:tab w:val="left" w:pos="1750"/>
        </w:tabs>
        <w:rPr>
          <w:rFonts w:ascii="Tahoma" w:hAnsi="Tahoma"/>
          <w:sz w:val="22"/>
          <w:szCs w:val="22"/>
        </w:rPr>
      </w:pPr>
    </w:p>
    <w:sectPr w:rsidR="002737C6" w:rsidRPr="002737C6" w:rsidSect="002B70DD">
      <w:pgSz w:w="11900" w:h="16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5"/>
    <w:rsid w:val="000147F7"/>
    <w:rsid w:val="000A499F"/>
    <w:rsid w:val="000B6498"/>
    <w:rsid w:val="00160F7B"/>
    <w:rsid w:val="002104B4"/>
    <w:rsid w:val="0023066E"/>
    <w:rsid w:val="002737C6"/>
    <w:rsid w:val="002B70DD"/>
    <w:rsid w:val="004614AF"/>
    <w:rsid w:val="00587295"/>
    <w:rsid w:val="00591C01"/>
    <w:rsid w:val="008C576F"/>
    <w:rsid w:val="008E6407"/>
    <w:rsid w:val="009B5F41"/>
    <w:rsid w:val="00B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D111"/>
  <w15:chartTrackingRefBased/>
  <w15:docId w15:val="{7A77B20A-9041-7D41-86CF-7CEE073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2018-11-27T15:06:00Z</dcterms:created>
  <dcterms:modified xsi:type="dcterms:W3CDTF">2018-11-28T09:55:00Z</dcterms:modified>
</cp:coreProperties>
</file>